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B2A4A" w:val="clear"/>
            <w:tcMar>
              <w:top w:type="dxa" w:w="480"/>
              <w:left w:type="dxa" w:w="480"/>
              <w:bottom w:type="dxa" w:w="480"/>
              <w:right w:type="dxa" w:w="480"/>
            </w:tcMar>
          </w:tcPr>
          <w:p>
            <w:pPr>
              <w:spacing w:after="80"/>
              <w:jc w:val="center"/>
            </w:pPr>
            <w:r>
              <w:rPr>
                <w:rFonts w:ascii="Arial" w:cs="Arial" w:eastAsia="Arial" w:hAnsi="Arial"/>
                <w:b/>
                <w:bCs/>
                <w:color w:val="E8B84B"/>
                <w:sz w:val="64"/>
                <w:szCs w:val="64"/>
              </w:rPr>
              <w:t xml:space="preserve">PAYBO TOKEN</w:t>
            </w:r>
          </w:p>
          <w:p>
            <w:pPr>
              <w:spacing w:after="120"/>
              <w:jc w:val="center"/>
            </w:pPr>
            <w:r>
              <w:rPr>
                <w:rFonts w:ascii="Arial" w:cs="Arial" w:eastAsia="Arial" w:hAnsi="Arial"/>
                <w:color w:val="BBCCE0"/>
                <w:sz w:val="28"/>
                <w:szCs w:val="28"/>
              </w:rPr>
              <w:t xml:space="preserve">Tokenomics &amp; Token Economics Document</w:t>
            </w:r>
          </w:p>
          <w:p>
            <w:pPr>
              <w:spacing w:after="240"/>
              <w:jc w:val="center"/>
            </w:pPr>
            <w:r>
              <w:rPr>
                <w:rFonts w:ascii="Arial" w:cs="Arial" w:eastAsia="Arial" w:hAnsi="Arial"/>
                <w:color w:val="8899AA"/>
                <w:sz w:val="22"/>
                <w:szCs w:val="22"/>
              </w:rPr>
              <w:t xml:space="preserve">PayBookClub Content Monetisation Platform  |  Aandaal.io CIC</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B2A4A"/>
                <w:sz w:val="20"/>
                <w:szCs w:val="20"/>
              </w:rPr>
              <w:t xml:space="preserve">Token name:</w:t>
            </w:r>
          </w:p>
        </w:tc>
        <w:tc>
          <w:tcPr>
            <w:tcW w:type="dxa" w:w="656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222222"/>
                <w:sz w:val="20"/>
                <w:szCs w:val="20"/>
              </w:rPr>
              <w:t xml:space="preserve">PAYBO (PAYBOS)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B2A4A"/>
                <w:sz w:val="20"/>
                <w:szCs w:val="20"/>
              </w:rPr>
              <w:t xml:space="preserve">Token type:</w:t>
            </w:r>
          </w:p>
        </w:tc>
        <w:tc>
          <w:tcPr>
            <w:tcW w:type="dxa" w:w="656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222222"/>
                <w:sz w:val="20"/>
                <w:szCs w:val="20"/>
              </w:rPr>
              <w:t xml:space="preserve">Stellar Network — Custom Asset (not ERC-20)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B2A4A"/>
                <w:sz w:val="20"/>
                <w:szCs w:val="20"/>
              </w:rPr>
              <w:t xml:space="preserve">Total supply:</w:t>
            </w:r>
          </w:p>
        </w:tc>
        <w:tc>
          <w:tcPr>
            <w:tcW w:type="dxa" w:w="656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222222"/>
                <w:sz w:val="20"/>
                <w:szCs w:val="20"/>
              </w:rPr>
              <w:t xml:space="preserve">998,297,413 PAYBOS in circulation (max cap: 2,000,000,000)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B2A4A"/>
                <w:sz w:val="20"/>
                <w:szCs w:val="20"/>
              </w:rPr>
              <w:t xml:space="preserve">Issuer:</w:t>
            </w:r>
          </w:p>
        </w:tc>
        <w:tc>
          <w:tcPr>
            <w:tcW w:type="dxa" w:w="656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222222"/>
                <w:sz w:val="20"/>
                <w:szCs w:val="20"/>
              </w:rPr>
              <w:t xml:space="preserve">Capexsales Ltd — UK Private Limited Company (Co. No. 7161555)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B2A4A"/>
                <w:sz w:val="20"/>
                <w:szCs w:val="20"/>
              </w:rPr>
              <w:t xml:space="preserve">Status:</w:t>
            </w:r>
          </w:p>
        </w:tc>
        <w:tc>
          <w:tcPr>
            <w:tcW w:type="dxa" w:w="656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222222"/>
                <w:sz w:val="20"/>
                <w:szCs w:val="20"/>
              </w:rPr>
              <w:t xml:space="preserve">Live — operational since 2018</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B2A4A"/>
                <w:sz w:val="20"/>
                <w:szCs w:val="20"/>
              </w:rPr>
              <w:t xml:space="preserve">Network:</w:t>
            </w:r>
          </w:p>
        </w:tc>
        <w:tc>
          <w:tcPr>
            <w:tcW w:type="dxa" w:w="656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222222"/>
                <w:sz w:val="20"/>
                <w:szCs w:val="20"/>
              </w:rPr>
              <w:t xml:space="preserve">Stellar Blockchain (Horizon API)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B2A4A"/>
                <w:sz w:val="20"/>
                <w:szCs w:val="20"/>
              </w:rPr>
              <w:t xml:space="preserve">Market:</w:t>
            </w:r>
          </w:p>
        </w:tc>
        <w:tc>
          <w:tcPr>
            <w:tcW w:type="dxa" w:w="656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222222"/>
                <w:sz w:val="20"/>
                <w:szCs w:val="20"/>
              </w:rPr>
              <w:t xml:space="preserve">Stellar DEX — live trading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B2A4A"/>
                <w:sz w:val="20"/>
                <w:szCs w:val="20"/>
              </w:rPr>
              <w:t xml:space="preserve">Version:</w:t>
            </w:r>
          </w:p>
        </w:tc>
        <w:tc>
          <w:tcPr>
            <w:tcW w:type="dxa" w:w="656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222222"/>
                <w:sz w:val="20"/>
                <w:szCs w:val="20"/>
              </w:rPr>
              <w:t xml:space="preserve">2026 — Updated tokenomics (original 2018)</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B2A4A"/>
                <w:sz w:val="20"/>
                <w:szCs w:val="20"/>
              </w:rPr>
              <w:t xml:space="preserve">Contact:</w:t>
            </w:r>
          </w:p>
        </w:tc>
        <w:tc>
          <w:tcPr>
            <w:tcW w:type="dxa" w:w="656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222222"/>
                <w:sz w:val="20"/>
                <w:szCs w:val="20"/>
              </w:rPr>
              <w:t xml:space="preserve">PAPS Pillai  |  paybookclub@gmail.com  |  +44 7919 593023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B2A4A"/>
                <w:sz w:val="20"/>
                <w:szCs w:val="20"/>
              </w:rPr>
              <w:t xml:space="preserve">Website:</w:t>
            </w:r>
          </w:p>
        </w:tc>
        <w:tc>
          <w:tcPr>
            <w:tcW w:type="dxa" w:w="656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222222"/>
                <w:sz w:val="20"/>
                <w:szCs w:val="20"/>
              </w:rPr>
              <w:t xml:space="preserve">https://andal.io  |  https://api.paybook.club</w:t>
            </w:r>
          </w:p>
        </w:tc>
      </w:tr>
    </w:tbl>
    <w:p>
      <w:pPr>
        <w:spacing w:after="80"/>
      </w:pPr>
      <w:r>
        <w:t xml:space="preserve"/>
      </w:r>
    </w:p>
    <w:p>
      <w:pPr>
        <w:spacing w:after="80"/>
      </w:pPr>
      <w:r>
        <w:t xml:space="preserve"/>
      </w:r>
    </w:p>
    <w:p>
      <w:pPr>
        <w:pBdr>
          <w:bottom w:val="single" w:color="1B2A4A" w:sz="4" w:space="1"/>
        </w:pBdr>
        <w:spacing w:after="200"/>
      </w:pPr>
    </w:p>
    <w:p>
      <w:pPr>
        <w:pStyle w:val="Heading1"/>
        <w:spacing w:after="160" w:before="320"/>
      </w:pPr>
      <w:r>
        <w:rPr>
          <w:rFonts w:ascii="Arial" w:cs="Arial" w:eastAsia="Arial" w:hAnsi="Arial"/>
          <w:b/>
          <w:bCs/>
          <w:color w:val="1B2A4A"/>
          <w:sz w:val="36"/>
          <w:szCs w:val="36"/>
        </w:rPr>
        <w:t xml:space="preserve">1. Executive Summary</w:t>
      </w:r>
    </w:p>
    <w:p>
      <w:pPr>
        <w:spacing w:after="120"/>
      </w:pPr>
      <w:r>
        <w:rPr>
          <w:rFonts w:ascii="Arial" w:cs="Arial" w:eastAsia="Arial" w:hAnsi="Arial"/>
          <w:b w:val="false"/>
          <w:bCs w:val="false"/>
          <w:color w:val="222222"/>
          <w:sz w:val="22"/>
          <w:szCs w:val="22"/>
        </w:rPr>
        <w:t xml:space="preserve">PAYBO is a utility token built on the Stellar Blockchain, designed to power the PayBookClub content monetisation platform. It is one of the oldest active utility tokens on Stellar, having operated continuously since 2018 with 70,000+ users across African markets and an expanding presence in India.</w:t>
      </w:r>
    </w:p>
    <w:p>
      <w:pPr>
        <w:spacing w:after="120"/>
      </w:pPr>
      <w:r>
        <w:rPr>
          <w:rFonts w:ascii="Arial" w:cs="Arial" w:eastAsia="Arial" w:hAnsi="Arial"/>
          <w:b w:val="false"/>
          <w:bCs w:val="false"/>
          <w:color w:val="222222"/>
          <w:sz w:val="22"/>
          <w:szCs w:val="22"/>
        </w:rPr>
        <w:t xml:space="preserve">Unlike many blockchain projects that remain theoretical, PAYBO has a live, operational ecosystem: users earn tokens through real platform activity, convert them to XLM via the Stellar DEX, and cash out to local currency through regulated exchanges. The token has survived 8 years of market cycles, holder consolidation, and platform evolution — demonstrating genuine resilience and utility.</w:t>
      </w:r>
    </w:p>
    <w:p>
      <w:pPr>
        <w:spacing w:after="120"/>
      </w:pPr>
      <w:r>
        <w:rPr>
          <w:rFonts w:ascii="Arial" w:cs="Arial" w:eastAsia="Arial" w:hAnsi="Arial"/>
          <w:b w:val="false"/>
          <w:bCs w:val="false"/>
          <w:color w:val="222222"/>
          <w:sz w:val="22"/>
          <w:szCs w:val="22"/>
        </w:rPr>
        <w:t xml:space="preserve">This document presents the current tokenomics as they stand in 2026, honestly reflecting both the platform's achievements and the developmental stage of its revenue model.</w:t>
      </w:r>
    </w:p>
    <w:p>
      <w:pPr>
        <w:spacing w:after="80"/>
      </w:pPr>
      <w:r>
        <w:t xml:space="preserve"/>
      </w:r>
    </w:p>
    <w:p>
      <w:pPr>
        <w:pBdr>
          <w:bottom w:val="single" w:color="1B2A4A" w:sz="4" w:space="1"/>
        </w:pBdr>
        <w:spacing w:after="200"/>
      </w:pPr>
    </w:p>
    <w:p>
      <w:pPr>
        <w:pStyle w:val="Heading1"/>
        <w:spacing w:after="160" w:before="320"/>
      </w:pPr>
      <w:r>
        <w:rPr>
          <w:rFonts w:ascii="Arial" w:cs="Arial" w:eastAsia="Arial" w:hAnsi="Arial"/>
          <w:b/>
          <w:bCs/>
          <w:color w:val="1B2A4A"/>
          <w:sz w:val="36"/>
          <w:szCs w:val="36"/>
        </w:rPr>
        <w:t xml:space="preserve">2. Token Fundamentals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Token Name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PAYBO (plural: PAYBOS)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Blockchain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Stellar Network</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Token Standard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Stellar Custom Asset (native Stellar, not ERC-20)</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Total Supply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998,297,413 PAYBOS in circulation | Max cap: 2,000,000,000 (ICO pool unactivated)</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Issuer Account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GDNUDY5LNUVCO55LLK6H2RCOILB6EO7UOVAOGDTV3FB7Y2U45TMAXD3D</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Issuer Lock</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Not yet locked — planned as part of ANDAL CIC governance milestone</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Profit Wallet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GCITMDSF7XMHFZGICCEHCFLZMMS2GGBULPLSIADPSVD4QVYMCOGERXU3</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Launched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2018 — 8 years of continuous operation</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Current Market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Stellar DEX — live trading, organic market activity</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Live Price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~0.000596 XLM per PAYBO (1 XLM ≈ 1,676 PAYBOS) — May 2026</w:t>
            </w:r>
          </w:p>
        </w:tc>
      </w:tr>
    </w:tbl>
    <w:p>
      <w:pPr>
        <w:spacing w:after="80"/>
      </w:pPr>
      <w:r>
        <w:t xml:space="preserve"/>
      </w:r>
    </w:p>
    <w:p>
      <w:pPr>
        <w:pBdr>
          <w:bottom w:val="single" w:color="1B2A4A" w:sz="4" w:space="1"/>
        </w:pBdr>
        <w:spacing w:after="200"/>
      </w:pPr>
    </w:p>
    <w:p>
      <w:pPr>
        <w:pStyle w:val="Heading1"/>
        <w:spacing w:after="160" w:before="320"/>
      </w:pPr>
      <w:r>
        <w:rPr>
          <w:rFonts w:ascii="Arial" w:cs="Arial" w:eastAsia="Arial" w:hAnsi="Arial"/>
          <w:b/>
          <w:bCs/>
          <w:color w:val="1B2A4A"/>
          <w:sz w:val="36"/>
          <w:szCs w:val="36"/>
        </w:rPr>
        <w:t xml:space="preserve">3. Token Supply &amp; Distribution</w:t>
      </w:r>
    </w:p>
    <w:p>
      <w:pPr>
        <w:pStyle w:val="Heading2"/>
        <w:spacing w:after="120" w:before="240"/>
      </w:pPr>
      <w:r>
        <w:rPr>
          <w:rFonts w:ascii="Arial" w:cs="Arial" w:eastAsia="Arial" w:hAnsi="Arial"/>
          <w:b/>
          <w:bCs/>
          <w:color w:val="1B2A4A"/>
          <w:sz w:val="28"/>
          <w:szCs w:val="28"/>
        </w:rPr>
        <w:t xml:space="preserve">3.1 Original Distribution Design (2018)</w:t>
      </w:r>
    </w:p>
    <w:p>
      <w:pPr>
        <w:spacing w:after="120"/>
      </w:pPr>
      <w:r>
        <w:rPr>
          <w:rFonts w:ascii="Arial" w:cs="Arial" w:eastAsia="Arial" w:hAnsi="Arial"/>
          <w:b w:val="false"/>
          <w:bCs w:val="false"/>
          <w:color w:val="222222"/>
          <w:sz w:val="22"/>
          <w:szCs w:val="22"/>
        </w:rPr>
        <w:t xml:space="preserve">The original 2018 tokenomics envisaged a 2-billion token supply split across two pools. The planned ICO did not proceed due to absence of institutional investment interest at the time. The distribution has since been consolidated to reflect operational reality.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3860"/>
      </w:tblGrid>
      <w:tr>
        <w:tc>
          <w:tcPr>
            <w:tcW w:type="dxa" w:w="3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Amount</w:t>
            </w:r>
          </w:p>
        </w:tc>
        <w:tc>
          <w:tcPr>
            <w:tcW w:type="dxa" w:w="38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Status (2026)</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Member Rewards Pool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1,000,000,000</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Active — distributed via in-app earnings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ICO / Bounty Pool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1,000,000,000</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ICO did not proceed — pool not activated</w:t>
            </w:r>
          </w:p>
        </w:tc>
      </w:tr>
      <w:tr>
        <w:tc>
          <w:tcPr>
            <w:tcW w:type="dxa" w:w="3500"/>
            <w:tcBorders>
              <w:top w:val="single" w:color="CCCCCC" w:sz="1"/>
              <w:left w:val="single" w:color="CCCCCC" w:sz="1"/>
              <w:bottom w:val="single" w:color="CCCCCC" w:sz="1"/>
              <w:right w:val="single" w:color="CCCCCC" w:sz="1"/>
            </w:tcBorders>
            <w:shd w:fill="EAF0F8" w:val="clear"/>
            <w:tcMar>
              <w:top w:type="dxa" w:w="80"/>
              <w:left w:type="dxa" w:w="120"/>
              <w:bottom w:type="dxa" w:w="80"/>
              <w:right w:type="dxa" w:w="120"/>
            </w:tcMar>
          </w:tcPr>
          <w:p>
            <w:r>
              <w:rPr>
                <w:rFonts w:ascii="Arial" w:cs="Arial" w:eastAsia="Arial" w:hAnsi="Arial"/>
                <w:b/>
                <w:bCs/>
                <w:color w:val="FFFFFF"/>
                <w:sz w:val="20"/>
                <w:szCs w:val="20"/>
              </w:rPr>
              <w:t xml:space="preserve">TOTAL DESIGNED</w:t>
            </w:r>
          </w:p>
        </w:tc>
        <w:tc>
          <w:tcPr>
            <w:tcW w:type="dxa" w:w="2000"/>
            <w:tcBorders>
              <w:top w:val="single" w:color="CCCCCC" w:sz="1"/>
              <w:left w:val="single" w:color="CCCCCC" w:sz="1"/>
              <w:bottom w:val="single" w:color="CCCCCC" w:sz="1"/>
              <w:right w:val="single" w:color="CCCCCC" w:sz="1"/>
            </w:tcBorders>
            <w:shd w:fill="EAF0F8" w:val="clear"/>
            <w:tcMar>
              <w:top w:type="dxa" w:w="80"/>
              <w:left w:type="dxa" w:w="120"/>
              <w:bottom w:type="dxa" w:w="80"/>
              <w:right w:type="dxa" w:w="120"/>
            </w:tcMar>
          </w:tcPr>
          <w:p>
            <w:r>
              <w:rPr>
                <w:rFonts w:ascii="Arial" w:cs="Arial" w:eastAsia="Arial" w:hAnsi="Arial"/>
                <w:b/>
                <w:bCs/>
                <w:color w:val="FFFFFF"/>
                <w:sz w:val="20"/>
                <w:szCs w:val="20"/>
              </w:rPr>
              <w:t xml:space="preserve">2,000,000,000</w:t>
            </w:r>
          </w:p>
        </w:tc>
        <w:tc>
          <w:tcPr>
            <w:tcW w:type="dxa" w:w="3860"/>
            <w:tcBorders>
              <w:top w:val="single" w:color="CCCCCC" w:sz="1"/>
              <w:left w:val="single" w:color="CCCCCC" w:sz="1"/>
              <w:bottom w:val="single" w:color="CCCCCC" w:sz="1"/>
              <w:right w:val="single" w:color="CCCCCC" w:sz="1"/>
            </w:tcBorders>
            <w:shd w:fill="EAF0F8"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r>
    </w:tbl>
    <w:p>
      <w:pPr>
        <w:spacing w:after="80"/>
      </w:pPr>
      <w:r>
        <w:t xml:space="preserve"/>
      </w:r>
    </w:p>
    <w:p>
      <w:pPr>
        <w:pStyle w:val="Heading2"/>
        <w:spacing w:after="120" w:before="240"/>
      </w:pPr>
      <w:r>
        <w:rPr>
          <w:rFonts w:ascii="Arial" w:cs="Arial" w:eastAsia="Arial" w:hAnsi="Arial"/>
          <w:b/>
          <w:bCs/>
          <w:color w:val="1B2A4A"/>
          <w:sz w:val="28"/>
          <w:szCs w:val="28"/>
        </w:rPr>
        <w:t xml:space="preserve">3.2 Actual 2026 Supply</w:t>
      </w:r>
    </w:p>
    <w:p>
      <w:pPr>
        <w:spacing w:after="120"/>
      </w:pPr>
      <w:r>
        <w:rPr>
          <w:rFonts w:ascii="Arial" w:cs="Arial" w:eastAsia="Arial" w:hAnsi="Arial"/>
          <w:b w:val="false"/>
          <w:bCs w:val="false"/>
          <w:color w:val="222222"/>
          <w:sz w:val="22"/>
          <w:szCs w:val="22"/>
        </w:rPr>
        <w:t xml:space="preserve">The operational supply is 1 billion PAYBOS. The ICO pool was never activated and remains unissued. The issuer account has not been locked, which remains an open governance item.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3860"/>
      </w:tblGrid>
      <w:tr>
        <w:tc>
          <w:tcPr>
            <w:tcW w:type="dxa" w:w="3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Amount</w:t>
            </w:r>
          </w:p>
        </w:tc>
        <w:tc>
          <w:tcPr>
            <w:tcW w:type="dxa" w:w="38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Issued &amp; in circulation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998,297,413</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In member wallets, DEX, profit wallet (verified StellarExpert)</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Unissued (ICO pool)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~1,000,000,000</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Not activated — held at issuer account</w:t>
            </w:r>
          </w:p>
        </w:tc>
      </w:tr>
      <w:tr>
        <w:tc>
          <w:tcPr>
            <w:tcW w:type="dxa" w:w="3500"/>
            <w:tcBorders>
              <w:top w:val="single" w:color="CCCCCC" w:sz="1"/>
              <w:left w:val="single" w:color="CCCCCC" w:sz="1"/>
              <w:bottom w:val="single" w:color="CCCCCC" w:sz="1"/>
              <w:right w:val="single" w:color="CCCCCC" w:sz="1"/>
            </w:tcBorders>
            <w:shd w:fill="EAF0F8" w:val="clear"/>
            <w:tcMar>
              <w:top w:type="dxa" w:w="80"/>
              <w:left w:type="dxa" w:w="120"/>
              <w:bottom w:type="dxa" w:w="80"/>
              <w:right w:type="dxa" w:w="120"/>
            </w:tcMar>
          </w:tcPr>
          <w:p>
            <w:r>
              <w:rPr>
                <w:rFonts w:ascii="Arial" w:cs="Arial" w:eastAsia="Arial" w:hAnsi="Arial"/>
                <w:b/>
                <w:bCs/>
                <w:color w:val="FFFFFF"/>
                <w:sz w:val="20"/>
                <w:szCs w:val="20"/>
              </w:rPr>
              <w:t xml:space="preserve">TOTAL CAP</w:t>
            </w:r>
          </w:p>
        </w:tc>
        <w:tc>
          <w:tcPr>
            <w:tcW w:type="dxa" w:w="2000"/>
            <w:tcBorders>
              <w:top w:val="single" w:color="CCCCCC" w:sz="1"/>
              <w:left w:val="single" w:color="CCCCCC" w:sz="1"/>
              <w:bottom w:val="single" w:color="CCCCCC" w:sz="1"/>
              <w:right w:val="single" w:color="CCCCCC" w:sz="1"/>
            </w:tcBorders>
            <w:shd w:fill="EAF0F8" w:val="clear"/>
            <w:tcMar>
              <w:top w:type="dxa" w:w="80"/>
              <w:left w:type="dxa" w:w="120"/>
              <w:bottom w:type="dxa" w:w="80"/>
              <w:right w:type="dxa" w:w="120"/>
            </w:tcMar>
          </w:tcPr>
          <w:p>
            <w:r>
              <w:rPr>
                <w:rFonts w:ascii="Arial" w:cs="Arial" w:eastAsia="Arial" w:hAnsi="Arial"/>
                <w:b/>
                <w:bCs/>
                <w:color w:val="FFFFFF"/>
                <w:sz w:val="20"/>
                <w:szCs w:val="20"/>
              </w:rPr>
              <w:t xml:space="preserve">2,000,000,000</w:t>
            </w:r>
          </w:p>
        </w:tc>
        <w:tc>
          <w:tcPr>
            <w:tcW w:type="dxa" w:w="3860"/>
            <w:tcBorders>
              <w:top w:val="single" w:color="CCCCCC" w:sz="1"/>
              <w:left w:val="single" w:color="CCCCCC" w:sz="1"/>
              <w:bottom w:val="single" w:color="CCCCCC" w:sz="1"/>
              <w:right w:val="single" w:color="CCCCCC" w:sz="1"/>
            </w:tcBorders>
            <w:shd w:fill="EAF0F8" w:val="clear"/>
            <w:tcMar>
              <w:top w:type="dxa" w:w="80"/>
              <w:left w:type="dxa" w:w="120"/>
              <w:bottom w:type="dxa" w:w="80"/>
              <w:right w:type="dxa" w:w="120"/>
            </w:tcMar>
          </w:tcPr>
          <w:p>
            <w:r>
              <w:rPr>
                <w:rFonts w:ascii="Arial" w:cs="Arial" w:eastAsia="Arial" w:hAnsi="Arial"/>
                <w:b w:val="false"/>
                <w:bCs w:val="false"/>
                <w:color w:val="333333"/>
                <w:sz w:val="20"/>
                <w:szCs w:val="20"/>
              </w:rPr>
              <w:t xml:space="preserve">Hard cap — no new issuance planned</w:t>
            </w:r>
          </w:p>
        </w:tc>
      </w:tr>
    </w:tbl>
    <w:p>
      <w:pPr>
        <w:spacing w:after="80"/>
      </w:pPr>
      <w:r>
        <w:t xml:space="preserve"/>
      </w:r>
    </w:p>
    <w:p>
      <w:pPr>
        <w:pStyle w:val="Heading2"/>
        <w:spacing w:after="120" w:before="240"/>
      </w:pPr>
      <w:r>
        <w:rPr>
          <w:rFonts w:ascii="Arial" w:cs="Arial" w:eastAsia="Arial" w:hAnsi="Arial"/>
          <w:b/>
          <w:bCs/>
          <w:color w:val="1B2A4A"/>
          <w:sz w:val="28"/>
          <w:szCs w:val="28"/>
        </w:rPr>
        <w:t xml:space="preserve">3.3 Holder Profile</w:t>
      </w:r>
    </w:p>
    <w:p>
      <w:pPr>
        <w:spacing w:after="120"/>
      </w:pPr>
      <w:r>
        <w:rPr>
          <w:rFonts w:ascii="Arial" w:cs="Arial" w:eastAsia="Arial" w:hAnsi="Arial"/>
          <w:b w:val="false"/>
          <w:bCs w:val="false"/>
          <w:color w:val="222222"/>
          <w:sz w:val="22"/>
          <w:szCs w:val="22"/>
        </w:rPr>
        <w:t xml:space="preserve">After 8 years of operation, the holder base has undergone natural consolidation. Early speculative holders who entered at launch have largely exited. The current holder profile consists primarily of:</w:t>
      </w:r>
    </w:p>
    <w:p>
      <w:pPr>
        <w:pStyle w:val="ListParagraph"/>
        <w:numPr>
          <w:ilvl w:val="0"/>
          <w:numId w:val="2"/>
        </w:numPr>
        <w:spacing w:after="80"/>
      </w:pPr>
      <w:r>
        <w:rPr>
          <w:rFonts w:ascii="Arial" w:cs="Arial" w:eastAsia="Arial" w:hAnsi="Arial"/>
          <w:color w:val="333333"/>
          <w:sz w:val="22"/>
          <w:szCs w:val="22"/>
        </w:rPr>
        <w:t xml:space="preserve">Active PayBookClub app users earning PAYBOS through platform activity</w:t>
      </w:r>
    </w:p>
    <w:p>
      <w:pPr>
        <w:pStyle w:val="ListParagraph"/>
        <w:numPr>
          <w:ilvl w:val="0"/>
          <w:numId w:val="2"/>
        </w:numPr>
        <w:spacing w:after="80"/>
      </w:pPr>
      <w:r>
        <w:rPr>
          <w:rFonts w:ascii="Arial" w:cs="Arial" w:eastAsia="Arial" w:hAnsi="Arial"/>
          <w:color w:val="333333"/>
          <w:sz w:val="22"/>
          <w:szCs w:val="22"/>
        </w:rPr>
        <w:t xml:space="preserve">Long-term holders who understand the project and have chosen to retain</w:t>
      </w:r>
    </w:p>
    <w:p>
      <w:pPr>
        <w:pStyle w:val="ListParagraph"/>
        <w:numPr>
          <w:ilvl w:val="0"/>
          <w:numId w:val="2"/>
        </w:numPr>
        <w:spacing w:after="80"/>
      </w:pPr>
      <w:r>
        <w:rPr>
          <w:rFonts w:ascii="Arial" w:cs="Arial" w:eastAsia="Arial" w:hAnsi="Arial"/>
          <w:color w:val="333333"/>
          <w:sz w:val="22"/>
          <w:szCs w:val="22"/>
        </w:rPr>
        <w:t xml:space="preserve">The platform treasury (profit wallet) accumulating fee revenue</w:t>
      </w:r>
    </w:p>
    <w:p>
      <w:pPr>
        <w:spacing w:after="120"/>
      </w:pPr>
      <w:r>
        <w:rPr>
          <w:rFonts w:ascii="Arial" w:cs="Arial" w:eastAsia="Arial" w:hAnsi="Arial"/>
          <w:b w:val="false"/>
          <w:bCs w:val="false"/>
          <w:color w:val="222222"/>
          <w:sz w:val="22"/>
          <w:szCs w:val="22"/>
        </w:rPr>
        <w:t xml:space="preserve">Significant early dump pressure from unknown holders has subsided. Current app-user cashout behaviour is managed through platform-level restrictions on withdrawal frequency after initial redemptions. This has materially stabilised selling pressure.</w:t>
      </w:r>
    </w:p>
    <w:p>
      <w:pPr>
        <w:spacing w:after="80"/>
      </w:pPr>
      <w:r>
        <w:t xml:space="preserve"/>
      </w:r>
    </w:p>
    <w:p>
      <w:pPr>
        <w:pBdr>
          <w:bottom w:val="single" w:color="1B2A4A" w:sz="4" w:space="1"/>
        </w:pBdr>
        <w:spacing w:after="200"/>
      </w:pPr>
    </w:p>
    <w:p>
      <w:pPr>
        <w:pStyle w:val="Heading1"/>
        <w:spacing w:after="160" w:before="320"/>
      </w:pPr>
      <w:r>
        <w:rPr>
          <w:rFonts w:ascii="Arial" w:cs="Arial" w:eastAsia="Arial" w:hAnsi="Arial"/>
          <w:b/>
          <w:bCs/>
          <w:color w:val="1B2A4A"/>
          <w:sz w:val="36"/>
          <w:szCs w:val="36"/>
        </w:rPr>
        <w:t xml:space="preserve">4. Token Utility — How PAYBO Works</w:t>
      </w:r>
    </w:p>
    <w:p>
      <w:pPr>
        <w:pStyle w:val="Heading2"/>
        <w:spacing w:after="120" w:before="240"/>
      </w:pPr>
      <w:r>
        <w:rPr>
          <w:rFonts w:ascii="Arial" w:cs="Arial" w:eastAsia="Arial" w:hAnsi="Arial"/>
          <w:b/>
          <w:bCs/>
          <w:color w:val="1B2A4A"/>
          <w:sz w:val="28"/>
          <w:szCs w:val="28"/>
        </w:rPr>
        <w:t xml:space="preserve">4.1 Earning PAYBO</w:t>
      </w:r>
    </w:p>
    <w:p>
      <w:pPr>
        <w:spacing w:after="120"/>
      </w:pPr>
      <w:r>
        <w:rPr>
          <w:rFonts w:ascii="Arial" w:cs="Arial" w:eastAsia="Arial" w:hAnsi="Arial"/>
          <w:b w:val="false"/>
          <w:bCs w:val="false"/>
          <w:color w:val="222222"/>
          <w:sz w:val="22"/>
          <w:szCs w:val="22"/>
        </w:rPr>
        <w:t xml:space="preserve">Users of the PayBookClub platform earn PAYBOS through the following in-app activities:</w:t>
      </w:r>
    </w:p>
    <w:p>
      <w:pPr>
        <w:pStyle w:val="ListParagraph"/>
        <w:numPr>
          <w:ilvl w:val="0"/>
          <w:numId w:val="2"/>
        </w:numPr>
        <w:spacing w:after="80"/>
      </w:pPr>
      <w:r>
        <w:rPr>
          <w:rFonts w:ascii="Arial" w:cs="Arial" w:eastAsia="Arial" w:hAnsi="Arial"/>
          <w:color w:val="333333"/>
          <w:sz w:val="22"/>
          <w:szCs w:val="22"/>
        </w:rPr>
        <w:t xml:space="preserve">Content browsing — micro-rewards per session</w:t>
      </w:r>
    </w:p>
    <w:p>
      <w:pPr>
        <w:pStyle w:val="ListParagraph"/>
        <w:numPr>
          <w:ilvl w:val="0"/>
          <w:numId w:val="2"/>
        </w:numPr>
        <w:spacing w:after="80"/>
      </w:pPr>
      <w:r>
        <w:rPr>
          <w:rFonts w:ascii="Arial" w:cs="Arial" w:eastAsia="Arial" w:hAnsi="Arial"/>
          <w:color w:val="333333"/>
          <w:sz w:val="22"/>
          <w:szCs w:val="22"/>
        </w:rPr>
        <w:t xml:space="preserve">Post approval — rewards for approved content submissions</w:t>
      </w:r>
    </w:p>
    <w:p>
      <w:pPr>
        <w:pStyle w:val="ListParagraph"/>
        <w:numPr>
          <w:ilvl w:val="0"/>
          <w:numId w:val="2"/>
        </w:numPr>
        <w:spacing w:after="80"/>
      </w:pPr>
      <w:r>
        <w:rPr>
          <w:rFonts w:ascii="Arial" w:cs="Arial" w:eastAsia="Arial" w:hAnsi="Arial"/>
          <w:color w:val="333333"/>
          <w:sz w:val="22"/>
          <w:szCs w:val="22"/>
        </w:rPr>
        <w:t xml:space="preserve">Withdrawal fee participation — fee-based activity rewards</w:t>
      </w:r>
    </w:p>
    <w:p>
      <w:pPr>
        <w:pStyle w:val="ListParagraph"/>
        <w:numPr>
          <w:ilvl w:val="0"/>
          <w:numId w:val="2"/>
        </w:numPr>
        <w:spacing w:after="80"/>
      </w:pPr>
      <w:r>
        <w:rPr>
          <w:rFonts w:ascii="Arial" w:cs="Arial" w:eastAsia="Arial" w:hAnsi="Arial"/>
          <w:color w:val="333333"/>
          <w:sz w:val="22"/>
          <w:szCs w:val="22"/>
        </w:rPr>
        <w:t xml:space="preserve">Subscription activity — premium engagement rewards</w:t>
      </w:r>
    </w:p>
    <w:p>
      <w:pPr>
        <w:pStyle w:val="ListParagraph"/>
        <w:numPr>
          <w:ilvl w:val="0"/>
          <w:numId w:val="2"/>
        </w:numPr>
        <w:spacing w:after="80"/>
      </w:pPr>
      <w:r>
        <w:rPr>
          <w:rFonts w:ascii="Arial" w:cs="Arial" w:eastAsia="Arial" w:hAnsi="Arial"/>
          <w:color w:val="333333"/>
          <w:sz w:val="22"/>
          <w:szCs w:val="22"/>
        </w:rPr>
        <w:t xml:space="preserve">Boost and promotional activities</w:t>
      </w:r>
    </w:p>
    <w:p>
      <w:pPr>
        <w:spacing w:after="120"/>
      </w:pPr>
      <w:r>
        <w:rPr>
          <w:rFonts w:ascii="Arial" w:cs="Arial" w:eastAsia="Arial" w:hAnsi="Arial"/>
          <w:b w:val="false"/>
          <w:bCs w:val="false"/>
          <w:color w:val="222222"/>
          <w:sz w:val="22"/>
          <w:szCs w:val="22"/>
        </w:rPr>
        <w:t xml:space="preserve">These activities generate inbound PAYBO flows to user wallets. They simultaneously generate XLM revenue to the platform profit wallet, which is the core revenue mechanism.</w:t>
      </w:r>
    </w:p>
    <w:p>
      <w:pPr>
        <w:pStyle w:val="Heading2"/>
        <w:spacing w:after="120" w:before="240"/>
      </w:pPr>
      <w:r>
        <w:rPr>
          <w:rFonts w:ascii="Arial" w:cs="Arial" w:eastAsia="Arial" w:hAnsi="Arial"/>
          <w:b/>
          <w:bCs/>
          <w:color w:val="1B2A4A"/>
          <w:sz w:val="28"/>
          <w:szCs w:val="28"/>
        </w:rPr>
        <w:t xml:space="preserve">4.2 Spending / Redeeming PAYBO</w:t>
      </w:r>
    </w:p>
    <w:p>
      <w:pPr>
        <w:spacing w:after="120"/>
      </w:pPr>
      <w:r>
        <w:rPr>
          <w:rFonts w:ascii="Arial" w:cs="Arial" w:eastAsia="Arial" w:hAnsi="Arial"/>
          <w:b w:val="false"/>
          <w:bCs w:val="false"/>
          <w:color w:val="222222"/>
          <w:sz w:val="22"/>
          <w:szCs w:val="22"/>
        </w:rPr>
        <w:t xml:space="preserve">Users redeem PAYBOS via two routes:</w:t>
      </w:r>
    </w:p>
    <w:p>
      <w:pPr>
        <w:pStyle w:val="ListParagraph"/>
        <w:numPr>
          <w:ilvl w:val="0"/>
          <w:numId w:val="2"/>
        </w:numPr>
        <w:spacing w:after="80"/>
      </w:pPr>
      <w:r>
        <w:rPr>
          <w:rFonts w:ascii="Arial" w:cs="Arial" w:eastAsia="Arial" w:hAnsi="Arial"/>
          <w:color w:val="333333"/>
          <w:sz w:val="22"/>
          <w:szCs w:val="22"/>
        </w:rPr>
        <w:t xml:space="preserve">In-app cashout — minimum 5,000 PAYBOS, converted to XLM at the live Stellar DEX rate, then to local fiat currency via partner exchanges</w:t>
      </w:r>
    </w:p>
    <w:p>
      <w:pPr>
        <w:pStyle w:val="ListParagraph"/>
        <w:numPr>
          <w:ilvl w:val="0"/>
          <w:numId w:val="2"/>
        </w:numPr>
        <w:spacing w:after="80"/>
      </w:pPr>
      <w:r>
        <w:rPr>
          <w:rFonts w:ascii="Arial" w:cs="Arial" w:eastAsia="Arial" w:hAnsi="Arial"/>
          <w:color w:val="333333"/>
          <w:sz w:val="22"/>
          <w:szCs w:val="22"/>
        </w:rPr>
        <w:t xml:space="preserve">Stellar DEX trading — users may trade PAYBOS directly on the open Stellar DEX</w:t>
      </w:r>
    </w:p>
    <w:p>
      <w:pPr>
        <w:spacing w:after="120"/>
      </w:pPr>
      <w:r>
        <w:rPr>
          <w:rFonts w:ascii="Arial" w:cs="Arial" w:eastAsia="Arial" w:hAnsi="Arial"/>
          <w:b w:val="false"/>
          <w:bCs w:val="false"/>
          <w:color w:val="222222"/>
          <w:sz w:val="22"/>
          <w:szCs w:val="22"/>
        </w:rPr>
        <w:t xml:space="preserve">Cashout restrictions are applied after initial redemptions to prevent the platform subsidising unlimited dumps. This protects the PAYBO price and the sustainability of the reward mechanism.</w:t>
      </w:r>
    </w:p>
    <w:p>
      <w:pPr>
        <w:pStyle w:val="Heading2"/>
        <w:spacing w:after="120" w:before="240"/>
      </w:pPr>
      <w:r>
        <w:rPr>
          <w:rFonts w:ascii="Arial" w:cs="Arial" w:eastAsia="Arial" w:hAnsi="Arial"/>
          <w:b/>
          <w:bCs/>
          <w:color w:val="1B2A4A"/>
          <w:sz w:val="28"/>
          <w:szCs w:val="28"/>
        </w:rPr>
        <w:t xml:space="preserve">4.3 Live Transaction 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000"/>
        <w:gridCol w:w="4860"/>
      </w:tblGrid>
      <w:tr>
        <w:tc>
          <w:tcPr>
            <w:tcW w:type="dxa" w:w="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4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Action</w:t>
            </w:r>
          </w:p>
        </w:tc>
        <w:tc>
          <w:tcPr>
            <w:tcW w:type="dxa" w:w="48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User earns PAYBOS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In-app activity credited to user wallet on Stellar</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Fee deducted to profit wallet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XLM equivalent flows to GCITMDSF... wallet</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3</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User initiates cashout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Minimum 5,000 PAYBOS, subject to restrictions</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4</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PAYBOS → XLM conversion</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Path payment via Stellar DEX at live market rate</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5</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XLM → Fiat conversion</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Via regulated partner exchanges (Africa / India)</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6</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Fiat settlement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Mobile money (Africa) / UPI/IMPS (India — planned)</w:t>
            </w:r>
          </w:p>
        </w:tc>
      </w:tr>
    </w:tbl>
    <w:p>
      <w:pPr>
        <w:spacing w:after="80"/>
      </w:pPr>
      <w:r>
        <w:t xml:space="preserve"/>
      </w:r>
    </w:p>
    <w:p>
      <w:pPr>
        <w:pBdr>
          <w:bottom w:val="single" w:color="1B2A4A" w:sz="4" w:space="1"/>
        </w:pBdr>
        <w:spacing w:after="200"/>
      </w:pPr>
    </w:p>
    <w:p>
      <w:pPr>
        <w:pStyle w:val="Heading1"/>
        <w:spacing w:after="160" w:before="320"/>
      </w:pPr>
      <w:r>
        <w:rPr>
          <w:rFonts w:ascii="Arial" w:cs="Arial" w:eastAsia="Arial" w:hAnsi="Arial"/>
          <w:b/>
          <w:bCs/>
          <w:color w:val="1B2A4A"/>
          <w:sz w:val="36"/>
          <w:szCs w:val="36"/>
        </w:rPr>
        <w:t xml:space="preserve">5. Revenue Model &amp; Sustainability</w:t>
      </w:r>
    </w:p>
    <w:p>
      <w:pPr>
        <w:pStyle w:val="Heading2"/>
        <w:spacing w:after="120" w:before="240"/>
      </w:pPr>
      <w:r>
        <w:rPr>
          <w:rFonts w:ascii="Arial" w:cs="Arial" w:eastAsia="Arial" w:hAnsi="Arial"/>
          <w:b/>
          <w:bCs/>
          <w:color w:val="1B2A4A"/>
          <w:sz w:val="28"/>
          <w:szCs w:val="28"/>
        </w:rPr>
        <w:t xml:space="preserve">5.1 Current Revenue Architecture</w:t>
      </w:r>
    </w:p>
    <w:p>
      <w:pPr>
        <w:spacing w:after="120"/>
      </w:pPr>
      <w:r>
        <w:rPr>
          <w:rFonts w:ascii="Arial" w:cs="Arial" w:eastAsia="Arial" w:hAnsi="Arial"/>
          <w:b w:val="false"/>
          <w:bCs w:val="false"/>
          <w:color w:val="222222"/>
          <w:sz w:val="22"/>
          <w:szCs w:val="22"/>
        </w:rPr>
        <w:t xml:space="preserve">The PayBookClub revenue model operates on a cross-subsidy principle: a large base of fee-paying users funds the cashout eligibility of a smaller number of qualifying users — similar in structure to a lottery or prize-linked savings mechanism.</w:t>
      </w:r>
    </w:p>
    <w:p>
      <w:pPr>
        <w:spacing w:after="120"/>
      </w:pPr>
      <w:r>
        <w:rPr>
          <w:rFonts w:ascii="Arial" w:cs="Arial" w:eastAsia="Arial" w:hAnsi="Arial"/>
          <w:b w:val="false"/>
          <w:bCs w:val="false"/>
          <w:color w:val="222222"/>
          <w:sz w:val="22"/>
          <w:szCs w:val="22"/>
        </w:rPr>
        <w:t xml:space="preserve">Revenue is generated in XLM (received at the profit wallet) from user activity fees. This XLM is used to fund cashout obligations and market price support operations.</w:t>
      </w:r>
    </w:p>
    <w:p>
      <w:pPr>
        <w:pStyle w:val="Heading2"/>
        <w:spacing w:after="120" w:before="240"/>
      </w:pPr>
      <w:r>
        <w:rPr>
          <w:rFonts w:ascii="Arial" w:cs="Arial" w:eastAsia="Arial" w:hAnsi="Arial"/>
          <w:b/>
          <w:bCs/>
          <w:color w:val="1B2A4A"/>
          <w:sz w:val="28"/>
          <w:szCs w:val="28"/>
        </w:rPr>
        <w:t xml:space="preserve">5.2 Key Metrics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3860"/>
      </w:tblGrid>
      <w:tr>
        <w:tc>
          <w:tcPr>
            <w:tcW w:type="dxa" w:w="3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38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Period</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Active users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70,000+</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Africa (expanding to India)</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Total XLM earned (all time)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2,806 XLM</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From profit wallet Horizon data</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Revenue transactions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1,949</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All time</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Organic market coverage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99.9%</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Organic buyers absorbing sell pressure</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Bot dependency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0.1%</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Market nearly self-sustaining</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Current coverage ratio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0.38x</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Fee revenue vs cashout obligations (today)</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PAYBO/XLM rate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1,676 PAYBO/XLM</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Live — May 2026</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Total trades (all time)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471,651</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StellarExpert verified</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Total payments (all time)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203,590</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StellarExpert verified</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All-time trading volume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1.07B PAYBO / 390K XLM</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Stellar DEX — StellarExpert</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Liquidity pool (XLM/PAYBO)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$2,290 USD locked</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44 participants, 1,537 weekly trades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StellarExpert rating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6.3 / 10</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Trustlines: 2,130 total / 1,586 funded</w:t>
            </w:r>
          </w:p>
        </w:tc>
      </w:tr>
    </w:tbl>
    <w:p>
      <w:pPr>
        <w:spacing w:after="80"/>
      </w:pPr>
      <w:r>
        <w:t xml:space="preserve"/>
      </w:r>
    </w:p>
    <w:p>
      <w:pPr>
        <w:pStyle w:val="Heading2"/>
        <w:spacing w:after="120" w:before="240"/>
      </w:pPr>
      <w:r>
        <w:rPr>
          <w:rFonts w:ascii="Arial" w:cs="Arial" w:eastAsia="Arial" w:hAnsi="Arial"/>
          <w:b/>
          <w:bCs/>
          <w:color w:val="1B2A4A"/>
          <w:sz w:val="28"/>
          <w:szCs w:val="28"/>
        </w:rPr>
        <w:t xml:space="preserve">5.3 Coverage Ratio Analysis</w:t>
      </w:r>
    </w:p>
    <w:p>
      <w:pPr>
        <w:spacing w:after="120"/>
      </w:pPr>
      <w:r>
        <w:rPr>
          <w:rFonts w:ascii="Arial" w:cs="Arial" w:eastAsia="Arial" w:hAnsi="Arial"/>
          <w:b w:val="false"/>
          <w:bCs w:val="false"/>
          <w:color w:val="222222"/>
          <w:sz w:val="22"/>
          <w:szCs w:val="22"/>
        </w:rPr>
        <w:t xml:space="preserve">The current daily coverage ratio of 0.38x reflects a platform at an early revenue-generation stage relative to its cashout obligations. This is a known and managed position, not an unexpected deficit. Three levers improve this ratio:</w:t>
      </w:r>
    </w:p>
    <w:p>
      <w:pPr>
        <w:pStyle w:val="ListParagraph"/>
        <w:numPr>
          <w:ilvl w:val="0"/>
          <w:numId w:val="2"/>
        </w:numPr>
        <w:spacing w:after="80"/>
      </w:pPr>
      <w:r>
        <w:rPr>
          <w:rFonts w:ascii="Arial" w:cs="Arial" w:eastAsia="Arial" w:hAnsi="Arial"/>
          <w:color w:val="333333"/>
          <w:sz w:val="22"/>
          <w:szCs w:val="22"/>
        </w:rPr>
        <w:t xml:space="preserve">User base growth — India expansion targets 150,000+ users, which modelling shows achieves break-even at current fee rates</w:t>
      </w:r>
    </w:p>
    <w:p>
      <w:pPr>
        <w:pStyle w:val="ListParagraph"/>
        <w:numPr>
          <w:ilvl w:val="0"/>
          <w:numId w:val="2"/>
        </w:numPr>
        <w:spacing w:after="80"/>
      </w:pPr>
      <w:r>
        <w:rPr>
          <w:rFonts w:ascii="Arial" w:cs="Arial" w:eastAsia="Arial" w:hAnsi="Arial"/>
          <w:color w:val="333333"/>
          <w:sz w:val="22"/>
          <w:szCs w:val="22"/>
        </w:rPr>
        <w:t xml:space="preserve">Trading volume increase — organic PAYBO trading on the Stellar DEX generates fee revenue independent of in-app activity</w:t>
      </w:r>
    </w:p>
    <w:p>
      <w:pPr>
        <w:pStyle w:val="ListParagraph"/>
        <w:numPr>
          <w:ilvl w:val="0"/>
          <w:numId w:val="2"/>
        </w:numPr>
        <w:spacing w:after="80"/>
      </w:pPr>
      <w:r>
        <w:rPr>
          <w:rFonts w:ascii="Arial" w:cs="Arial" w:eastAsia="Arial" w:hAnsi="Arial"/>
          <w:color w:val="333333"/>
          <w:sz w:val="22"/>
          <w:szCs w:val="22"/>
        </w:rPr>
        <w:t xml:space="preserve">UGC monetisation — planned implementation of content-linked revenue (advertising, sponsorship, premium tiers) has not yet been activated due to capital constraints; this represents the largest single revenue upside</w:t>
      </w:r>
    </w:p>
    <w:p>
      <w:pPr>
        <w:pStyle w:val="Heading2"/>
        <w:spacing w:after="120" w:before="240"/>
      </w:pPr>
      <w:r>
        <w:rPr>
          <w:rFonts w:ascii="Arial" w:cs="Arial" w:eastAsia="Arial" w:hAnsi="Arial"/>
          <w:b/>
          <w:bCs/>
          <w:color w:val="1B2A4A"/>
          <w:sz w:val="28"/>
          <w:szCs w:val="28"/>
        </w:rPr>
        <w:t xml:space="preserve">5.4 Capital Raise Pathway</w:t>
      </w:r>
    </w:p>
    <w:p>
      <w:pPr>
        <w:spacing w:after="120"/>
      </w:pPr>
      <w:r>
        <w:rPr>
          <w:rFonts w:ascii="Arial" w:cs="Arial" w:eastAsia="Arial" w:hAnsi="Arial"/>
          <w:b w:val="false"/>
          <w:bCs w:val="false"/>
          <w:color w:val="222222"/>
          <w:sz w:val="22"/>
          <w:szCs w:val="22"/>
        </w:rPr>
        <w:t xml:space="preserve">The platform is considering a structured token sale to raise working capital for the marketing and user acquisition investment required to reach break-even user numbers. This would be structured as a compliant token offering, not a retrospective ICO.</w:t>
      </w:r>
    </w:p>
    <w:p>
      <w:pPr>
        <w:spacing w:after="80"/>
      </w:pPr>
      <w:r>
        <w:t xml:space="preserve"/>
      </w:r>
    </w:p>
    <w:p>
      <w:pPr>
        <w:pBdr>
          <w:bottom w:val="single" w:color="1B2A4A" w:sz="4" w:space="1"/>
        </w:pBdr>
        <w:spacing w:after="200"/>
      </w:pPr>
    </w:p>
    <w:p>
      <w:pPr>
        <w:pStyle w:val="Heading1"/>
        <w:spacing w:after="160" w:before="320"/>
      </w:pPr>
      <w:r>
        <w:rPr>
          <w:rFonts w:ascii="Arial" w:cs="Arial" w:eastAsia="Arial" w:hAnsi="Arial"/>
          <w:b/>
          <w:bCs/>
          <w:color w:val="1B2A4A"/>
          <w:sz w:val="36"/>
          <w:szCs w:val="36"/>
        </w:rPr>
        <w:t xml:space="preserve">6. Market Infrastructure &amp; Price Support</w:t>
      </w:r>
    </w:p>
    <w:p>
      <w:pPr>
        <w:pStyle w:val="Heading2"/>
        <w:spacing w:after="120" w:before="240"/>
      </w:pPr>
      <w:r>
        <w:rPr>
          <w:rFonts w:ascii="Arial" w:cs="Arial" w:eastAsia="Arial" w:hAnsi="Arial"/>
          <w:b/>
          <w:bCs/>
          <w:color w:val="1B2A4A"/>
          <w:sz w:val="28"/>
          <w:szCs w:val="28"/>
        </w:rPr>
        <w:t xml:space="preserve">6.1 Market Maker Bot</w:t>
      </w:r>
    </w:p>
    <w:p>
      <w:pPr>
        <w:spacing w:after="120"/>
      </w:pPr>
      <w:r>
        <w:rPr>
          <w:rFonts w:ascii="Arial" w:cs="Arial" w:eastAsia="Arial" w:hAnsi="Arial"/>
          <w:b w:val="false"/>
          <w:bCs w:val="false"/>
          <w:color w:val="222222"/>
          <w:sz w:val="22"/>
          <w:szCs w:val="22"/>
        </w:rPr>
        <w:t xml:space="preserve">An active market maker bot operates on the Stellar DEX, maintaining liquidity and bid-ask spreads for PAYBO/XLM. This is managed by the platform and operates within daily XLM spend caps.</w:t>
      </w:r>
    </w:p>
    <w:p>
      <w:pPr>
        <w:pStyle w:val="Heading2"/>
        <w:spacing w:after="120" w:before="240"/>
      </w:pPr>
      <w:r>
        <w:rPr>
          <w:rFonts w:ascii="Arial" w:cs="Arial" w:eastAsia="Arial" w:hAnsi="Arial"/>
          <w:b/>
          <w:bCs/>
          <w:color w:val="1B2A4A"/>
          <w:sz w:val="28"/>
          <w:szCs w:val="28"/>
        </w:rPr>
        <w:t xml:space="preserve">6.2 Price Support Mechanism</w:t>
      </w:r>
    </w:p>
    <w:p>
      <w:pPr>
        <w:spacing w:after="120"/>
      </w:pPr>
      <w:r>
        <w:rPr>
          <w:rFonts w:ascii="Arial" w:cs="Arial" w:eastAsia="Arial" w:hAnsi="Arial"/>
          <w:b w:val="false"/>
          <w:bCs w:val="false"/>
          <w:color w:val="222222"/>
          <w:sz w:val="22"/>
          <w:szCs w:val="22"/>
        </w:rPr>
        <w:t xml:space="preserve">A dedicated PriceSupport bot monitors PAYBO price relative to a moving average. It executes buy orders only when PAYBO weakens beyond a configurable threshold (currently 2% below the 24-hour moving average), subject to:</w:t>
      </w:r>
    </w:p>
    <w:p>
      <w:pPr>
        <w:pStyle w:val="ListParagraph"/>
        <w:numPr>
          <w:ilvl w:val="0"/>
          <w:numId w:val="2"/>
        </w:numPr>
        <w:spacing w:after="80"/>
      </w:pPr>
      <w:r>
        <w:rPr>
          <w:rFonts w:ascii="Arial" w:cs="Arial" w:eastAsia="Arial" w:hAnsi="Arial"/>
          <w:color w:val="333333"/>
          <w:sz w:val="22"/>
          <w:szCs w:val="22"/>
        </w:rPr>
        <w:t xml:space="preserve">Daily XLM spend cap (currently 50 XLM per day)</w:t>
      </w:r>
    </w:p>
    <w:p>
      <w:pPr>
        <w:pStyle w:val="ListParagraph"/>
        <w:numPr>
          <w:ilvl w:val="0"/>
          <w:numId w:val="2"/>
        </w:numPr>
        <w:spacing w:after="80"/>
      </w:pPr>
      <w:r>
        <w:rPr>
          <w:rFonts w:ascii="Arial" w:cs="Arial" w:eastAsia="Arial" w:hAnsi="Arial"/>
          <w:color w:val="333333"/>
          <w:sz w:val="22"/>
          <w:szCs w:val="22"/>
        </w:rPr>
        <w:t xml:space="preserve">Minimum XLM reserve (currently 10 XLM — never depleted below this level)</w:t>
      </w:r>
    </w:p>
    <w:p>
      <w:pPr>
        <w:pStyle w:val="ListParagraph"/>
        <w:numPr>
          <w:ilvl w:val="0"/>
          <w:numId w:val="2"/>
        </w:numPr>
        <w:spacing w:after="80"/>
      </w:pPr>
      <w:r>
        <w:rPr>
          <w:rFonts w:ascii="Arial" w:cs="Arial" w:eastAsia="Arial" w:hAnsi="Arial"/>
          <w:color w:val="333333"/>
          <w:sz w:val="22"/>
          <w:szCs w:val="22"/>
        </w:rPr>
        <w:t xml:space="preserve">Cooldown period between executions (10 minutes minimum)</w:t>
      </w:r>
    </w:p>
    <w:p>
      <w:pPr>
        <w:pStyle w:val="ListParagraph"/>
        <w:numPr>
          <w:ilvl w:val="0"/>
          <w:numId w:val="2"/>
        </w:numPr>
        <w:spacing w:after="80"/>
      </w:pPr>
      <w:r>
        <w:rPr>
          <w:rFonts w:ascii="Arial" w:cs="Arial" w:eastAsia="Arial" w:hAnsi="Arial"/>
          <w:color w:val="333333"/>
          <w:sz w:val="22"/>
          <w:szCs w:val="22"/>
        </w:rPr>
        <w:t xml:space="preserve">DEX trend analysis — standdown if PAYBO is already strengthening organically</w:t>
      </w:r>
    </w:p>
    <w:p>
      <w:pPr>
        <w:pStyle w:val="Heading2"/>
        <w:spacing w:after="120" w:before="240"/>
      </w:pPr>
      <w:r>
        <w:rPr>
          <w:rFonts w:ascii="Arial" w:cs="Arial" w:eastAsia="Arial" w:hAnsi="Arial"/>
          <w:b/>
          <w:bCs/>
          <w:color w:val="1B2A4A"/>
          <w:sz w:val="28"/>
          <w:szCs w:val="28"/>
        </w:rPr>
        <w:t xml:space="preserve">6.3 Organic Market Health (May 2026)</w:t>
      </w:r>
    </w:p>
    <w:p>
      <w:pPr>
        <w:spacing w:after="120"/>
      </w:pPr>
      <w:r>
        <w:rPr>
          <w:rFonts w:ascii="Arial" w:cs="Arial" w:eastAsia="Arial" w:hAnsi="Arial"/>
          <w:b w:val="false"/>
          <w:bCs w:val="false"/>
          <w:color w:val="222222"/>
          <w:sz w:val="22"/>
          <w:szCs w:val="22"/>
        </w:rPr>
        <w:t xml:space="preserve">The most significant finding from live market analysis is that the PAYBO market on the Stellar DEX is largely self-sustaining through organic activity:</w:t>
      </w:r>
    </w:p>
    <w:p>
      <w:pPr>
        <w:pStyle w:val="ListParagraph"/>
        <w:numPr>
          <w:ilvl w:val="0"/>
          <w:numId w:val="2"/>
        </w:numPr>
        <w:spacing w:after="80"/>
      </w:pPr>
      <w:r>
        <w:rPr>
          <w:rFonts w:ascii="Arial" w:cs="Arial" w:eastAsia="Arial" w:hAnsi="Arial"/>
          <w:color w:val="333333"/>
          <w:sz w:val="22"/>
          <w:szCs w:val="22"/>
        </w:rPr>
        <w:t xml:space="preserve">99.9% of buy-side volume comes from organic (non-bot) wallets</w:t>
      </w:r>
    </w:p>
    <w:p>
      <w:pPr>
        <w:pStyle w:val="ListParagraph"/>
        <w:numPr>
          <w:ilvl w:val="0"/>
          <w:numId w:val="2"/>
        </w:numPr>
        <w:spacing w:after="80"/>
      </w:pPr>
      <w:r>
        <w:rPr>
          <w:rFonts w:ascii="Arial" w:cs="Arial" w:eastAsia="Arial" w:hAnsi="Arial"/>
          <w:color w:val="333333"/>
          <w:sz w:val="22"/>
          <w:szCs w:val="22"/>
        </w:rPr>
        <w:t xml:space="preserve">23 unique organic buyer wallets active in the past 24 hours</w:t>
      </w:r>
    </w:p>
    <w:p>
      <w:pPr>
        <w:pStyle w:val="ListParagraph"/>
        <w:numPr>
          <w:ilvl w:val="0"/>
          <w:numId w:val="2"/>
        </w:numPr>
        <w:spacing w:after="80"/>
      </w:pPr>
      <w:r>
        <w:rPr>
          <w:rFonts w:ascii="Arial" w:cs="Arial" w:eastAsia="Arial" w:hAnsi="Arial"/>
          <w:color w:val="333333"/>
          <w:sz w:val="22"/>
          <w:szCs w:val="22"/>
        </w:rPr>
        <w:t xml:space="preserve">12 unique organic seller wallets — primarily app users cashing out</w:t>
      </w:r>
    </w:p>
    <w:p>
      <w:pPr>
        <w:pStyle w:val="ListParagraph"/>
        <w:numPr>
          <w:ilvl w:val="0"/>
          <w:numId w:val="2"/>
        </w:numPr>
        <w:spacing w:after="80"/>
      </w:pPr>
      <w:r>
        <w:rPr>
          <w:rFonts w:ascii="Arial" w:cs="Arial" w:eastAsia="Arial" w:hAnsi="Arial"/>
          <w:color w:val="333333"/>
          <w:sz w:val="22"/>
          <w:szCs w:val="22"/>
        </w:rPr>
        <w:t xml:space="preserve">Bot dependency of 0.1% — the price support mechanism rarely needs to intervene</w:t>
      </w:r>
    </w:p>
    <w:p>
      <w:pPr>
        <w:spacing w:after="120"/>
      </w:pPr>
      <w:r>
        <w:rPr>
          <w:rFonts w:ascii="Arial" w:cs="Arial" w:eastAsia="Arial" w:hAnsi="Arial"/>
          <w:b w:val="false"/>
          <w:bCs w:val="false"/>
          <w:color w:val="222222"/>
          <w:sz w:val="22"/>
          <w:szCs w:val="22"/>
        </w:rPr>
        <w:t xml:space="preserve">This is unusually strong organic market health for a token of this age and size, and reflects genuine utility-driven demand rather than manufactured liquidity.</w:t>
      </w:r>
    </w:p>
    <w:p>
      <w:pPr>
        <w:spacing w:after="80"/>
      </w:pPr>
      <w:r>
        <w:t xml:space="preserve"/>
      </w:r>
    </w:p>
    <w:p>
      <w:pPr>
        <w:pBdr>
          <w:bottom w:val="single" w:color="1B2A4A" w:sz="4" w:space="1"/>
        </w:pBdr>
        <w:spacing w:after="200"/>
      </w:pPr>
    </w:p>
    <w:p>
      <w:pPr>
        <w:pStyle w:val="Heading1"/>
        <w:spacing w:after="160" w:before="320"/>
      </w:pPr>
      <w:r>
        <w:rPr>
          <w:rFonts w:ascii="Arial" w:cs="Arial" w:eastAsia="Arial" w:hAnsi="Arial"/>
          <w:b/>
          <w:bCs/>
          <w:color w:val="1B2A4A"/>
          <w:sz w:val="36"/>
          <w:szCs w:val="36"/>
        </w:rPr>
        <w:t xml:space="preserve">7. Governance &amp; Legal Structure</w:t>
      </w:r>
    </w:p>
    <w:p>
      <w:pPr>
        <w:pStyle w:val="Heading2"/>
        <w:spacing w:after="120" w:before="240"/>
      </w:pPr>
      <w:r>
        <w:rPr>
          <w:rFonts w:ascii="Arial" w:cs="Arial" w:eastAsia="Arial" w:hAnsi="Arial"/>
          <w:b/>
          <w:bCs/>
          <w:color w:val="1B2A4A"/>
          <w:sz w:val="28"/>
          <w:szCs w:val="28"/>
        </w:rPr>
        <w:t xml:space="preserve">7.1 Issuing Entity</w:t>
      </w:r>
    </w:p>
    <w:p>
      <w:pPr>
        <w:spacing w:after="120"/>
      </w:pPr>
      <w:r>
        <w:rPr>
          <w:rFonts w:ascii="Arial" w:cs="Arial" w:eastAsia="Arial" w:hAnsi="Arial"/>
          <w:b w:val="false"/>
          <w:bCs w:val="false"/>
          <w:color w:val="222222"/>
          <w:sz w:val="22"/>
          <w:szCs w:val="22"/>
        </w:rPr>
        <w:t xml:space="preserve">PAYBO is issued by Capexsales Ltd, a UK Private Limited Company registered with Companies House (Co. No. 7161555) at Astor House, 282 Lichfield Road, Sutton Coldfield, B74 2UG, West Midlands, United Kingdom. The company holds a Certificate of Incorporation from the Registrar of Companies of England and Wales.</w:t>
      </w:r>
    </w:p>
    <w:p>
      <w:pPr>
        <w:spacing w:after="120"/>
      </w:pPr>
      <w:r>
        <w:rPr>
          <w:rFonts w:ascii="Arial" w:cs="Arial" w:eastAsia="Arial" w:hAnsi="Arial"/>
          <w:b w:val="false"/>
          <w:bCs w:val="false"/>
          <w:color w:val="222222"/>
          <w:sz w:val="22"/>
          <w:szCs w:val="22"/>
        </w:rPr>
        <w:t xml:space="preserve">Capexsales Ltd was originally incorporated as a Steel, Energy Technology and Capital Plant consultancy and agency. The company pivoted into software development following market contraction, and has been the developer and operator of PayBookClub and the PAYBO token since 2018. The company is currently in dormant status for conventional trading activities; its active operations are exclusively the PayBookClub platform and PAYBO token ecosystem.</w:t>
      </w:r>
    </w:p>
    <w:p>
      <w:pPr>
        <w:pStyle w:val="ListParagraph"/>
        <w:numPr>
          <w:ilvl w:val="0"/>
          <w:numId w:val="2"/>
        </w:numPr>
        <w:spacing w:after="80"/>
      </w:pPr>
      <w:r>
        <w:rPr>
          <w:rFonts w:ascii="Arial" w:cs="Arial" w:eastAsia="Arial" w:hAnsi="Arial"/>
          <w:color w:val="333333"/>
          <w:sz w:val="22"/>
          <w:szCs w:val="22"/>
        </w:rPr>
        <w:t xml:space="preserve">Registered: Companies House — Certificate of Incorporation of a Private Limited Company</w:t>
      </w:r>
    </w:p>
    <w:p>
      <w:pPr>
        <w:pStyle w:val="ListParagraph"/>
        <w:numPr>
          <w:ilvl w:val="0"/>
          <w:numId w:val="2"/>
        </w:numPr>
        <w:spacing w:after="80"/>
      </w:pPr>
      <w:r>
        <w:rPr>
          <w:rFonts w:ascii="Arial" w:cs="Arial" w:eastAsia="Arial" w:hAnsi="Arial"/>
          <w:color w:val="333333"/>
          <w:sz w:val="22"/>
          <w:szCs w:val="22"/>
        </w:rPr>
        <w:t xml:space="preserve">Company number: 7161555</w:t>
      </w:r>
    </w:p>
    <w:p>
      <w:pPr>
        <w:pStyle w:val="ListParagraph"/>
        <w:numPr>
          <w:ilvl w:val="0"/>
          <w:numId w:val="2"/>
        </w:numPr>
        <w:spacing w:after="80"/>
      </w:pPr>
      <w:r>
        <w:rPr>
          <w:rFonts w:ascii="Arial" w:cs="Arial" w:eastAsia="Arial" w:hAnsi="Arial"/>
          <w:color w:val="333333"/>
          <w:sz w:val="22"/>
          <w:szCs w:val="22"/>
        </w:rPr>
        <w:t xml:space="preserve">Registered address: Astor House, 282 Lichfield Road, Sutton Coldfield B74 2UG, UK</w:t>
      </w:r>
    </w:p>
    <w:p>
      <w:pPr>
        <w:pStyle w:val="ListParagraph"/>
        <w:numPr>
          <w:ilvl w:val="0"/>
          <w:numId w:val="2"/>
        </w:numPr>
        <w:spacing w:after="80"/>
      </w:pPr>
      <w:r>
        <w:rPr>
          <w:rFonts w:ascii="Arial" w:cs="Arial" w:eastAsia="Arial" w:hAnsi="Arial"/>
          <w:color w:val="333333"/>
          <w:sz w:val="22"/>
          <w:szCs w:val="22"/>
        </w:rPr>
        <w:t xml:space="preserve">Official email: admin@paybo.club</w:t>
      </w:r>
    </w:p>
    <w:p>
      <w:pPr>
        <w:pStyle w:val="ListParagraph"/>
        <w:numPr>
          <w:ilvl w:val="0"/>
          <w:numId w:val="2"/>
        </w:numPr>
        <w:spacing w:after="80"/>
      </w:pPr>
      <w:r>
        <w:rPr>
          <w:rFonts w:ascii="Arial" w:cs="Arial" w:eastAsia="Arial" w:hAnsi="Arial"/>
          <w:color w:val="333333"/>
          <w:sz w:val="22"/>
          <w:szCs w:val="22"/>
        </w:rPr>
        <w:t xml:space="preserve">Organisation domain: https://paybo.club (TOML file verified on Stellar network)</w:t>
      </w:r>
    </w:p>
    <w:p>
      <w:pPr>
        <w:spacing w:after="120"/>
      </w:pPr>
      <w:r>
        <w:rPr>
          <w:rFonts w:ascii="Arial" w:cs="Arial" w:eastAsia="Arial" w:hAnsi="Arial"/>
          <w:b w:val="false"/>
          <w:bCs w:val="false"/>
          <w:color w:val="222222"/>
          <w:sz w:val="22"/>
          <w:szCs w:val="22"/>
        </w:rPr>
        <w:t xml:space="preserve">The ANDAL token (in development) will be issued under Aandaal.io CIC, a separate UK Community Interest Company, providing additional asset-lock governance for the cultural heritage token.</w:t>
      </w:r>
    </w:p>
    <w:p>
      <w:pPr>
        <w:pStyle w:val="Heading2"/>
        <w:spacing w:after="120" w:before="240"/>
      </w:pPr>
      <w:r>
        <w:rPr>
          <w:rFonts w:ascii="Arial" w:cs="Arial" w:eastAsia="Arial" w:hAnsi="Arial"/>
          <w:b/>
          <w:bCs/>
          <w:color w:val="1B2A4A"/>
          <w:sz w:val="28"/>
          <w:szCs w:val="28"/>
        </w:rPr>
        <w:t xml:space="preserve">7.2 Issuer Account Status</w:t>
      </w:r>
    </w:p>
    <w:p>
      <w:pPr>
        <w:spacing w:after="120"/>
      </w:pPr>
      <w:r>
        <w:rPr>
          <w:rFonts w:ascii="Arial" w:cs="Arial" w:eastAsia="Arial" w:hAnsi="Arial"/>
          <w:b w:val="false"/>
          <w:bCs w:val="false"/>
          <w:color w:val="222222"/>
          <w:sz w:val="22"/>
          <w:szCs w:val="22"/>
        </w:rPr>
        <w:t xml:space="preserve">The Stellar issuer account for PAYBO has not yet been locked. Locking the issuer account would permanently prevent any new token issuance beyond the current 1 billion supply. This is planned as a formal governance milestone, to be executed in conjunction with the ANDAL token launch and CIC governance review.</w:t>
      </w:r>
    </w:p>
    <w:p>
      <w:pPr>
        <w:spacing w:after="120"/>
      </w:pPr>
      <w:r>
        <w:rPr>
          <w:rFonts w:ascii="Arial" w:cs="Arial" w:eastAsia="Arial" w:hAnsi="Arial"/>
          <w:b w:val="false"/>
          <w:bCs w:val="false"/>
          <w:color w:val="222222"/>
          <w:sz w:val="22"/>
          <w:szCs w:val="22"/>
        </w:rPr>
        <w:t xml:space="preserve">Until the lock is executed, the maximum theoretical supply remains 2 billion. The platform commits to no additional issuance without a community-disclosed token event.</w:t>
      </w:r>
    </w:p>
    <w:p>
      <w:pPr>
        <w:pStyle w:val="Heading2"/>
        <w:spacing w:after="120" w:before="240"/>
      </w:pPr>
      <w:r>
        <w:rPr>
          <w:rFonts w:ascii="Arial" w:cs="Arial" w:eastAsia="Arial" w:hAnsi="Arial"/>
          <w:b/>
          <w:bCs/>
          <w:color w:val="1B2A4A"/>
          <w:sz w:val="28"/>
          <w:szCs w:val="28"/>
        </w:rPr>
        <w:t xml:space="preserve">7.3 Compliance Position</w:t>
      </w:r>
    </w:p>
    <w:p>
      <w:pPr>
        <w:spacing w:after="120"/>
      </w:pPr>
      <w:r>
        <w:rPr>
          <w:rFonts w:ascii="Arial" w:cs="Arial" w:eastAsia="Arial" w:hAnsi="Arial"/>
          <w:b w:val="false"/>
          <w:bCs w:val="false"/>
          <w:color w:val="222222"/>
          <w:sz w:val="22"/>
          <w:szCs w:val="22"/>
        </w:rPr>
        <w:t xml:space="preserve">PAYBO is structured as a utility token — it confers the right to access platform services (content rewards, cashout eligibility) rather than representing equity, debt, or profit participation. The platform does not operate as a securities issuer.</w:t>
      </w:r>
    </w:p>
    <w:p>
      <w:pPr>
        <w:spacing w:after="120"/>
      </w:pPr>
      <w:r>
        <w:rPr>
          <w:rFonts w:ascii="Arial" w:cs="Arial" w:eastAsia="Arial" w:hAnsi="Arial"/>
          <w:b w:val="false"/>
          <w:bCs w:val="false"/>
          <w:color w:val="222222"/>
          <w:sz w:val="22"/>
          <w:szCs w:val="22"/>
        </w:rPr>
        <w:t xml:space="preserve">For regulated exchange listing (particularly in India under FIU-IND requirements), the platform is prepared to:</w:t>
      </w:r>
    </w:p>
    <w:p>
      <w:pPr>
        <w:pStyle w:val="ListParagraph"/>
        <w:numPr>
          <w:ilvl w:val="0"/>
          <w:numId w:val="2"/>
        </w:numPr>
        <w:spacing w:after="80"/>
      </w:pPr>
      <w:r>
        <w:rPr>
          <w:rFonts w:ascii="Arial" w:cs="Arial" w:eastAsia="Arial" w:hAnsi="Arial"/>
          <w:color w:val="333333"/>
          <w:sz w:val="22"/>
          <w:szCs w:val="22"/>
        </w:rPr>
        <w:t xml:space="preserve">Commission a full third-party security audit (CertiK / Hacken)</w:t>
      </w:r>
    </w:p>
    <w:p>
      <w:pPr>
        <w:pStyle w:val="ListParagraph"/>
        <w:numPr>
          <w:ilvl w:val="0"/>
          <w:numId w:val="2"/>
        </w:numPr>
        <w:spacing w:after="80"/>
      </w:pPr>
      <w:r>
        <w:rPr>
          <w:rFonts w:ascii="Arial" w:cs="Arial" w:eastAsia="Arial" w:hAnsi="Arial"/>
          <w:color w:val="333333"/>
          <w:sz w:val="22"/>
          <w:szCs w:val="22"/>
        </w:rPr>
        <w:t xml:space="preserve">Provide complete KYC/KYB documentation for all founders and controllers</w:t>
      </w:r>
    </w:p>
    <w:p>
      <w:pPr>
        <w:pStyle w:val="ListParagraph"/>
        <w:numPr>
          <w:ilvl w:val="0"/>
          <w:numId w:val="2"/>
        </w:numPr>
        <w:spacing w:after="80"/>
      </w:pPr>
      <w:r>
        <w:rPr>
          <w:rFonts w:ascii="Arial" w:cs="Arial" w:eastAsia="Arial" w:hAnsi="Arial"/>
          <w:color w:val="333333"/>
          <w:sz w:val="22"/>
          <w:szCs w:val="22"/>
        </w:rPr>
        <w:t xml:space="preserve">Submit to FEMA and AML compliance review</w:t>
      </w:r>
    </w:p>
    <w:p>
      <w:pPr>
        <w:pStyle w:val="ListParagraph"/>
        <w:numPr>
          <w:ilvl w:val="0"/>
          <w:numId w:val="2"/>
        </w:numPr>
        <w:spacing w:after="80"/>
      </w:pPr>
      <w:r>
        <w:rPr>
          <w:rFonts w:ascii="Arial" w:cs="Arial" w:eastAsia="Arial" w:hAnsi="Arial"/>
          <w:color w:val="333333"/>
          <w:sz w:val="22"/>
          <w:szCs w:val="22"/>
        </w:rPr>
        <w:t xml:space="preserve">Provide tokenomics, legal entity, and community metrics documentation</w:t>
      </w:r>
    </w:p>
    <w:p>
      <w:pPr>
        <w:spacing w:after="80"/>
      </w:pPr>
      <w:r>
        <w:t xml:space="preserve"/>
      </w:r>
    </w:p>
    <w:p>
      <w:pPr>
        <w:pBdr>
          <w:bottom w:val="single" w:color="1B2A4A" w:sz="4" w:space="1"/>
        </w:pBdr>
        <w:spacing w:after="200"/>
      </w:pPr>
    </w:p>
    <w:p>
      <w:pPr>
        <w:pStyle w:val="Heading1"/>
        <w:spacing w:after="160" w:before="320"/>
      </w:pPr>
      <w:r>
        <w:rPr>
          <w:rFonts w:ascii="Arial" w:cs="Arial" w:eastAsia="Arial" w:hAnsi="Arial"/>
          <w:b/>
          <w:bCs/>
          <w:color w:val="1B2A4A"/>
          <w:sz w:val="36"/>
          <w:szCs w:val="36"/>
        </w:rPr>
        <w:t xml:space="preserve">8. Development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5560"/>
      </w:tblGrid>
      <w:tr>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Timeline</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Milestone</w:t>
            </w:r>
          </w:p>
        </w:tc>
        <w:tc>
          <w:tcPr>
            <w:tcW w:type="dxa" w:w="5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Q2 2026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India Expansion</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Launch PayBookClub to Indian users; CoinDCX broker API integration for XLM→INR cashout</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Q3 2026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Security Audit</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Commission CertiK or Hacken audit of PAYBO Stellar issuer and smart contract infrastructure</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Q3 2026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Issuer Lock</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Lock PAYBO issuer account — permanent hard cap of 1 billion PAYBOS confirmed</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Q3 2026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Exchange Listing</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Apply for PAYBO listing on CoinDCX with INR pair; simultaneous application to ZebPay</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Q4 2026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UGC Monetisation</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Launch content-linked advertising and sponsorship revenue — primary driver of coverage ratio improvement</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Q4 2026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ANDAL Launch</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Launch ANDAL cultural heritage token on Stellar; dual-token ecosystem operational</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2027</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Break-even</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Target 150,000+ active users; fee coverage ratio ≥ 1.0x at current cashout rates</w:t>
            </w:r>
          </w:p>
        </w:tc>
      </w:tr>
    </w:tbl>
    <w:p>
      <w:pPr>
        <w:spacing w:after="80"/>
      </w:pPr>
      <w:r>
        <w:t xml:space="preserve"/>
      </w:r>
    </w:p>
    <w:p>
      <w:pPr>
        <w:pBdr>
          <w:bottom w:val="single" w:color="1B2A4A" w:sz="4" w:space="1"/>
        </w:pBdr>
        <w:spacing w:after="200"/>
      </w:pPr>
    </w:p>
    <w:p>
      <w:pPr>
        <w:pStyle w:val="Heading1"/>
        <w:spacing w:after="160" w:before="320"/>
      </w:pPr>
      <w:r>
        <w:rPr>
          <w:rFonts w:ascii="Arial" w:cs="Arial" w:eastAsia="Arial" w:hAnsi="Arial"/>
          <w:b/>
          <w:bCs/>
          <w:color w:val="1B2A4A"/>
          <w:sz w:val="36"/>
          <w:szCs w:val="36"/>
        </w:rPr>
        <w:t xml:space="preserve">9. Risk Factors</w:t>
      </w:r>
    </w:p>
    <w:p>
      <w:pPr>
        <w:spacing w:after="120"/>
      </w:pPr>
      <w:r>
        <w:rPr>
          <w:rFonts w:ascii="Arial" w:cs="Arial" w:eastAsia="Arial" w:hAnsi="Arial"/>
          <w:b w:val="false"/>
          <w:bCs w:val="false"/>
          <w:color w:val="222222"/>
          <w:sz w:val="22"/>
          <w:szCs w:val="22"/>
        </w:rPr>
        <w:t xml:space="preserve">The following risks are disclosed in the interest of full transparency:</w:t>
      </w:r>
    </w:p>
    <w:p>
      <w:pPr>
        <w:pStyle w:val="ListParagraph"/>
        <w:numPr>
          <w:ilvl w:val="0"/>
          <w:numId w:val="2"/>
        </w:numPr>
        <w:spacing w:after="80"/>
      </w:pPr>
      <w:r>
        <w:rPr>
          <w:rFonts w:ascii="Arial" w:cs="Arial" w:eastAsia="Arial" w:hAnsi="Arial"/>
          <w:color w:val="333333"/>
          <w:sz w:val="22"/>
          <w:szCs w:val="22"/>
        </w:rPr>
        <w:t xml:space="preserve">Coverage ratio — daily fee revenue currently covers 0.38x of cashout obligations; the platform operates at a managed deficit pending user base growth</w:t>
      </w:r>
    </w:p>
    <w:p>
      <w:pPr>
        <w:pStyle w:val="ListParagraph"/>
        <w:numPr>
          <w:ilvl w:val="0"/>
          <w:numId w:val="2"/>
        </w:numPr>
        <w:spacing w:after="80"/>
      </w:pPr>
      <w:r>
        <w:rPr>
          <w:rFonts w:ascii="Arial" w:cs="Arial" w:eastAsia="Arial" w:hAnsi="Arial"/>
          <w:color w:val="333333"/>
          <w:sz w:val="22"/>
          <w:szCs w:val="22"/>
        </w:rPr>
        <w:t xml:space="preserve">Issuer account not locked — theoretical possibility of additional issuance until the lock milestone is executed</w:t>
      </w:r>
    </w:p>
    <w:p>
      <w:pPr>
        <w:pStyle w:val="ListParagraph"/>
        <w:numPr>
          <w:ilvl w:val="0"/>
          <w:numId w:val="2"/>
        </w:numPr>
        <w:spacing w:after="80"/>
      </w:pPr>
      <w:r>
        <w:rPr>
          <w:rFonts w:ascii="Arial" w:cs="Arial" w:eastAsia="Arial" w:hAnsi="Arial"/>
          <w:color w:val="333333"/>
          <w:sz w:val="22"/>
          <w:szCs w:val="22"/>
        </w:rPr>
        <w:t xml:space="preserve">India regulatory uncertainty — 30% crypto tax and 1% TDS creates friction for Indian user cashouts; compliance costs are real</w:t>
      </w:r>
    </w:p>
    <w:p>
      <w:pPr>
        <w:pStyle w:val="ListParagraph"/>
        <w:numPr>
          <w:ilvl w:val="0"/>
          <w:numId w:val="2"/>
        </w:numPr>
        <w:spacing w:after="80"/>
      </w:pPr>
      <w:r>
        <w:rPr>
          <w:rFonts w:ascii="Arial" w:cs="Arial" w:eastAsia="Arial" w:hAnsi="Arial"/>
          <w:color w:val="333333"/>
          <w:sz w:val="22"/>
          <w:szCs w:val="22"/>
        </w:rPr>
        <w:t xml:space="preserve">UGC monetisation unimplemented — the largest revenue upside remains un-activated due to capital constraints</w:t>
      </w:r>
    </w:p>
    <w:p>
      <w:pPr>
        <w:pStyle w:val="ListParagraph"/>
        <w:numPr>
          <w:ilvl w:val="0"/>
          <w:numId w:val="2"/>
        </w:numPr>
        <w:spacing w:after="80"/>
      </w:pPr>
      <w:r>
        <w:rPr>
          <w:rFonts w:ascii="Arial" w:cs="Arial" w:eastAsia="Arial" w:hAnsi="Arial"/>
          <w:color w:val="333333"/>
          <w:sz w:val="22"/>
          <w:szCs w:val="22"/>
        </w:rPr>
        <w:t xml:space="preserve">No institutional investment to date — the platform has grown organically without external funding</w:t>
      </w:r>
    </w:p>
    <w:p>
      <w:pPr>
        <w:pStyle w:val="ListParagraph"/>
        <w:numPr>
          <w:ilvl w:val="0"/>
          <w:numId w:val="2"/>
        </w:numPr>
        <w:spacing w:after="80"/>
      </w:pPr>
      <w:r>
        <w:rPr>
          <w:rFonts w:ascii="Arial" w:cs="Arial" w:eastAsia="Arial" w:hAnsi="Arial"/>
          <w:color w:val="333333"/>
          <w:sz w:val="22"/>
          <w:szCs w:val="22"/>
        </w:rPr>
        <w:t xml:space="preserve">Stellar network dependency — platform operations are dependent on Stellar network availability and Horizon API continuity</w:t>
      </w:r>
    </w:p>
    <w:p>
      <w:pPr>
        <w:spacing w:after="80"/>
      </w:pPr>
      <w:r>
        <w:t xml:space="preserve"/>
      </w:r>
    </w:p>
    <w:p>
      <w:pPr>
        <w:pBdr>
          <w:bottom w:val="single" w:color="1B2A4A" w:sz="4" w:space="1"/>
        </w:pBdr>
        <w:spacing w:after="200"/>
      </w:pPr>
    </w:p>
    <w:p>
      <w:pPr>
        <w:pStyle w:val="Heading1"/>
        <w:spacing w:after="160" w:before="320"/>
      </w:pPr>
      <w:r>
        <w:rPr>
          <w:rFonts w:ascii="Arial" w:cs="Arial" w:eastAsia="Arial" w:hAnsi="Arial"/>
          <w:b/>
          <w:bCs/>
          <w:color w:val="1B2A4A"/>
          <w:sz w:val="36"/>
          <w:szCs w:val="36"/>
        </w:rPr>
        <w:t xml:space="preserve">10. Contact &amp; Further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7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Founder</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PAPS Pillai (Sreedhar Pillai)</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Company</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Capexsales Ltd — Co. No. 7161555</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Reg. address</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Astor House, 282 Lichfield Road, Sutton Coldfield B74 2UG, UK</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Official email</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admin@paybo.club</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TOML domain</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https://paybo.club</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GitHub</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https://github.com/paybookclub</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Keybase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https://keybase.io/paybookclub</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Email</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paybookclub@gmail.com</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Phone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+44 7919 593023</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Platform</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https://andal.io</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API Portal</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https://api.paybook.club</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Founder bio</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https://andal.io/Founder.html</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Stellar issuer</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GDNUDY5LNUVCO55LLK6H2RCOILB6EO7UOVAOGDTV3FB7Y2U45TMAXD3D</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Profit wallet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GCITMDSF7XMHFZGICCEHCFLZMMS2GGBULPLSIADPSVD4QVYMCOGERXU3</w:t>
            </w:r>
          </w:p>
        </w:tc>
      </w:tr>
    </w:tbl>
    <w:p>
      <w:pPr>
        <w:spacing w:after="80"/>
      </w:pPr>
      <w:r>
        <w:t xml:space="preserve"/>
      </w:r>
    </w:p>
    <w:p>
      <w:pPr>
        <w:spacing w:after="80"/>
      </w:pPr>
      <w:r>
        <w:t xml:space="preserve"/>
      </w:r>
    </w:p>
    <w:p>
      <w:pPr>
        <w:spacing w:after="120"/>
      </w:pPr>
      <w:r>
        <w:rPr>
          <w:rFonts w:ascii="Arial" w:cs="Arial" w:eastAsia="Arial" w:hAnsi="Arial"/>
          <w:b w:val="false"/>
          <w:bCs w:val="false"/>
          <w:color w:val="888888"/>
          <w:sz w:val="22"/>
          <w:szCs w:val="22"/>
        </w:rPr>
        <w:t xml:space="preserve">This document is provided for informational purposes in connection with exchange listing and partnership discussions. It does not constitute a prospectus, investment offer, or securities disclosure. PAYBO is a utility token. Recipients should conduct their own due diligence.</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PAYBO Token — Tokenomics &amp; Token Economics Document  |  PayBookClub / Aandaal.io CIC  |  May 2026  |  Page </w:t>
    </w:r>
    <w:r>
      <w:rPr>
        <w:rFonts w:ascii="Arial" w:cs="Arial" w:eastAsia="Arial" w:hAnsi="Arial"/>
        <w:color w:val="888888"/>
        <w:sz w:val="16"/>
        <w:szCs w:val="16"/>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B2A4A"/>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B2A4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2026-05-07T11:28:43.652Z</dcterms:created>
  <dcterms:modified xsi:type="dcterms:W3CDTF">2026-05-07T11:28:43.668Z</dcterms:modified>
</cp:coreProperties>
</file>

<file path=docProps/custom.xml><?xml version="1.0" encoding="utf-8"?>
<Properties xmlns="http://schemas.openxmlformats.org/officeDocument/2006/custom-properties" xmlns:vt="http://schemas.openxmlformats.org/officeDocument/2006/docPropsVTypes"/>
</file>